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5605124D" w:rsidR="004359F1" w:rsidRPr="00D541D2" w:rsidRDefault="00B46489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529B3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882F46">
            <w:rPr>
              <w:rFonts w:ascii="Times New Roman" w:hAnsi="Times New Roman" w:cs="Times New Roman"/>
              <w:b/>
              <w:sz w:val="28"/>
              <w:szCs w:val="28"/>
            </w:rPr>
            <w:t>udzas novada pašvaldībai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-1719116204"/>
        <w:lock w:val="sdtContentLocked"/>
        <w:placeholder>
          <w:docPart w:val="DefaultPlaceholder_-1854013440"/>
        </w:placeholder>
        <w:text/>
      </w:sdtPr>
      <w:sdtContent>
        <w:p w14:paraId="5615AF2E" w14:textId="45535A98" w:rsidR="00B46489" w:rsidRPr="004871A2" w:rsidRDefault="00B46489" w:rsidP="00B46489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>
            <w:rPr>
              <w:rFonts w:ascii="Times New Roman" w:eastAsia="Times New Roman" w:hAnsi="Times New Roman" w:cs="Times New Roman"/>
              <w:lang w:eastAsia="lv-LV"/>
            </w:rPr>
            <w:t>Raiņa iela</w:t>
          </w:r>
          <w:r w:rsidRPr="004871A2">
            <w:rPr>
              <w:rFonts w:ascii="Times New Roman" w:eastAsia="Times New Roman" w:hAnsi="Times New Roman" w:cs="Times New Roman"/>
              <w:lang w:eastAsia="lv-LV"/>
            </w:rPr>
            <w:t xml:space="preserve"> </w:t>
          </w:r>
          <w:r>
            <w:rPr>
              <w:rFonts w:ascii="Times New Roman" w:eastAsia="Times New Roman" w:hAnsi="Times New Roman" w:cs="Times New Roman"/>
              <w:lang w:eastAsia="lv-LV"/>
            </w:rPr>
            <w:t>16</w:t>
          </w:r>
          <w:r w:rsidRPr="004871A2">
            <w:rPr>
              <w:rFonts w:ascii="Times New Roman" w:eastAsia="Times New Roman" w:hAnsi="Times New Roman" w:cs="Times New Roman"/>
              <w:lang w:eastAsia="lv-LV"/>
            </w:rPr>
            <w:t xml:space="preserve">, </w:t>
          </w:r>
          <w:r>
            <w:rPr>
              <w:rFonts w:ascii="Times New Roman" w:eastAsia="Times New Roman" w:hAnsi="Times New Roman" w:cs="Times New Roman"/>
              <w:lang w:eastAsia="lv-LV"/>
            </w:rPr>
            <w:t>Ludza, Ludzas novads</w:t>
          </w:r>
          <w:r w:rsidRPr="004871A2">
            <w:rPr>
              <w:rFonts w:ascii="Times New Roman" w:eastAsia="Times New Roman" w:hAnsi="Times New Roman" w:cs="Times New Roman"/>
              <w:lang w:eastAsia="lv-LV"/>
            </w:rPr>
            <w:t>, LV-</w:t>
          </w:r>
          <w:r>
            <w:rPr>
              <w:rFonts w:ascii="Times New Roman" w:eastAsia="Times New Roman" w:hAnsi="Times New Roman" w:cs="Times New Roman"/>
              <w:lang w:eastAsia="lv-LV"/>
            </w:rPr>
            <w:t>5701</w:t>
          </w:r>
        </w:p>
      </w:sdtContent>
    </w:sdt>
    <w:p w14:paraId="6A266A7F" w14:textId="08DDB408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B46489" w:rsidRPr="009D6A2C">
          <w:rPr>
            <w:rStyle w:val="Hipersaite"/>
            <w:rFonts w:ascii="Times New Roman" w:eastAsia="Times New Roman" w:hAnsi="Times New Roman" w:cs="Times New Roman"/>
            <w:lang w:eastAsia="lv-LV"/>
          </w:rPr>
          <w:t>pasts@ludzasnovads.lv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1E9FAA65" w14:textId="248E0407" w:rsidR="00A337BF" w:rsidRDefault="00A337BF" w:rsidP="006802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 xml:space="preserve">Izvirzu ievēlēšanai </w:t>
      </w:r>
      <w:r w:rsidRPr="00D5214B">
        <w:rPr>
          <w:rFonts w:ascii="Times New Roman" w:hAnsi="Times New Roman" w:cs="Times New Roman"/>
          <w:sz w:val="24"/>
          <w:szCs w:val="24"/>
          <w:u w:val="single"/>
        </w:rPr>
        <w:t>Ludzas pilsētas</w:t>
      </w:r>
      <w:r w:rsidRPr="005C6E68">
        <w:rPr>
          <w:rFonts w:ascii="Times New Roman" w:hAnsi="Times New Roman" w:cs="Times New Roman"/>
          <w:sz w:val="24"/>
          <w:szCs w:val="24"/>
        </w:rPr>
        <w:t xml:space="preserve"> Iedzīvotāju padomes sastāvā:</w:t>
      </w:r>
    </w:p>
    <w:p w14:paraId="5AC4F08E" w14:textId="77777777" w:rsidR="00EA4CC4" w:rsidRPr="00D541D2" w:rsidRDefault="00EA4CC4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727DFB2F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882F4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3A554A34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ievēlēšanai </w:t>
      </w:r>
      <w:r w:rsidR="00B46489" w:rsidRPr="00B46489">
        <w:rPr>
          <w:rFonts w:ascii="Times New Roman" w:hAnsi="Times New Roman" w:cs="Times New Roman"/>
          <w:u w:val="single"/>
        </w:rPr>
        <w:t>Ludzas pilsētas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05FC3E4C" w14:textId="77777777" w:rsidR="002A08D8" w:rsidRPr="00EA4CC4" w:rsidRDefault="002A08D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sz w:val="18"/>
          <w:szCs w:val="18"/>
          <w:lang w:eastAsia="lv-LV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21125F"/>
    <w:rsid w:val="002A08D8"/>
    <w:rsid w:val="002C7504"/>
    <w:rsid w:val="00303843"/>
    <w:rsid w:val="003240E3"/>
    <w:rsid w:val="0033449F"/>
    <w:rsid w:val="00371C3D"/>
    <w:rsid w:val="003B7E90"/>
    <w:rsid w:val="003C0602"/>
    <w:rsid w:val="003D6EC8"/>
    <w:rsid w:val="004359F1"/>
    <w:rsid w:val="00442EA9"/>
    <w:rsid w:val="00466B29"/>
    <w:rsid w:val="004730AD"/>
    <w:rsid w:val="004A3A4B"/>
    <w:rsid w:val="004E3DEB"/>
    <w:rsid w:val="005306F7"/>
    <w:rsid w:val="00584B11"/>
    <w:rsid w:val="005C6E68"/>
    <w:rsid w:val="005E103E"/>
    <w:rsid w:val="006103B2"/>
    <w:rsid w:val="00615603"/>
    <w:rsid w:val="00625CE1"/>
    <w:rsid w:val="00644A88"/>
    <w:rsid w:val="006556DE"/>
    <w:rsid w:val="006B5BF7"/>
    <w:rsid w:val="00710100"/>
    <w:rsid w:val="008553A6"/>
    <w:rsid w:val="00871475"/>
    <w:rsid w:val="00877A6D"/>
    <w:rsid w:val="00882F46"/>
    <w:rsid w:val="009D59D5"/>
    <w:rsid w:val="009D7DE6"/>
    <w:rsid w:val="00A25F53"/>
    <w:rsid w:val="00A337BF"/>
    <w:rsid w:val="00A44F6E"/>
    <w:rsid w:val="00A53DA8"/>
    <w:rsid w:val="00AA4042"/>
    <w:rsid w:val="00B32754"/>
    <w:rsid w:val="00B46489"/>
    <w:rsid w:val="00B7080F"/>
    <w:rsid w:val="00BB1165"/>
    <w:rsid w:val="00C02693"/>
    <w:rsid w:val="00C72C68"/>
    <w:rsid w:val="00CC6159"/>
    <w:rsid w:val="00CD236E"/>
    <w:rsid w:val="00D068A7"/>
    <w:rsid w:val="00D5214B"/>
    <w:rsid w:val="00D541D2"/>
    <w:rsid w:val="00DC1FBB"/>
    <w:rsid w:val="00DD33A0"/>
    <w:rsid w:val="00EA4CC4"/>
    <w:rsid w:val="00EE05D7"/>
    <w:rsid w:val="00F014A0"/>
    <w:rsid w:val="00F2320D"/>
    <w:rsid w:val="00F32D15"/>
    <w:rsid w:val="00F345D8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pasts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FE2ACD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FE2ACD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203E90"/>
    <w:rsid w:val="00615603"/>
    <w:rsid w:val="006556DE"/>
    <w:rsid w:val="00B22BE2"/>
    <w:rsid w:val="00B32754"/>
    <w:rsid w:val="00C465AA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5</cp:revision>
  <dcterms:created xsi:type="dcterms:W3CDTF">2024-08-12T16:57:00Z</dcterms:created>
  <dcterms:modified xsi:type="dcterms:W3CDTF">2024-08-13T07:37:00Z</dcterms:modified>
</cp:coreProperties>
</file>